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D620E" w14:textId="77777777" w:rsidR="00A3169B" w:rsidRPr="00432529" w:rsidRDefault="00A3169B" w:rsidP="00A3169B">
      <w:pPr>
        <w:pStyle w:val="Corpsdetexte"/>
        <w:spacing w:before="120" w:line="240" w:lineRule="auto"/>
        <w:jc w:val="center"/>
        <w:rPr>
          <w:rFonts w:asciiTheme="minorHAnsi" w:hAnsiTheme="minorHAnsi" w:cstheme="minorHAnsi"/>
          <w:bCs/>
          <w:szCs w:val="22"/>
        </w:rPr>
      </w:pPr>
      <w:r w:rsidRPr="00432529">
        <w:rPr>
          <w:rFonts w:asciiTheme="minorHAnsi" w:hAnsiTheme="minorHAnsi" w:cstheme="minorHAnsi"/>
          <w:bCs/>
          <w:szCs w:val="22"/>
        </w:rPr>
        <w:t>HUNYVERS</w:t>
      </w:r>
    </w:p>
    <w:p w14:paraId="5B47886E" w14:textId="77777777" w:rsidR="00A3169B" w:rsidRPr="00432529" w:rsidRDefault="00A3169B" w:rsidP="00A3169B">
      <w:pPr>
        <w:pStyle w:val="Corpsdetexte"/>
        <w:spacing w:before="120" w:line="240" w:lineRule="auto"/>
        <w:jc w:val="center"/>
        <w:rPr>
          <w:rFonts w:asciiTheme="minorHAnsi" w:hAnsiTheme="minorHAnsi" w:cstheme="minorHAnsi"/>
          <w:b w:val="0"/>
          <w:szCs w:val="22"/>
        </w:rPr>
      </w:pPr>
      <w:r w:rsidRPr="00432529">
        <w:rPr>
          <w:rFonts w:asciiTheme="minorHAnsi" w:hAnsiTheme="minorHAnsi" w:cstheme="minorHAnsi"/>
          <w:b w:val="0"/>
          <w:szCs w:val="22"/>
        </w:rPr>
        <w:t>Société anonyme à Conseil d’administration au capital de 96 852,55 euros</w:t>
      </w:r>
    </w:p>
    <w:p w14:paraId="6249B987" w14:textId="77777777" w:rsidR="00A3169B" w:rsidRPr="00432529" w:rsidRDefault="00A3169B" w:rsidP="00A3169B">
      <w:pPr>
        <w:pStyle w:val="Corpsdetexte"/>
        <w:spacing w:before="120" w:line="240" w:lineRule="auto"/>
        <w:jc w:val="center"/>
        <w:rPr>
          <w:rFonts w:asciiTheme="minorHAnsi" w:hAnsiTheme="minorHAnsi" w:cstheme="minorHAnsi"/>
          <w:b w:val="0"/>
          <w:szCs w:val="22"/>
        </w:rPr>
      </w:pPr>
      <w:r w:rsidRPr="00432529">
        <w:rPr>
          <w:rFonts w:asciiTheme="minorHAnsi" w:hAnsiTheme="minorHAnsi" w:cstheme="minorHAnsi"/>
          <w:b w:val="0"/>
          <w:szCs w:val="22"/>
        </w:rPr>
        <w:t xml:space="preserve">Siège social : 19 rue Jules </w:t>
      </w:r>
      <w:proofErr w:type="spellStart"/>
      <w:r w:rsidRPr="00432529">
        <w:rPr>
          <w:rFonts w:asciiTheme="minorHAnsi" w:hAnsiTheme="minorHAnsi" w:cstheme="minorHAnsi"/>
          <w:b w:val="0"/>
          <w:szCs w:val="22"/>
        </w:rPr>
        <w:t>Noriac</w:t>
      </w:r>
      <w:proofErr w:type="spellEnd"/>
      <w:r w:rsidRPr="00432529">
        <w:rPr>
          <w:rFonts w:asciiTheme="minorHAnsi" w:hAnsiTheme="minorHAnsi" w:cstheme="minorHAnsi"/>
          <w:b w:val="0"/>
          <w:szCs w:val="22"/>
        </w:rPr>
        <w:t>, 87000 Limoges</w:t>
      </w:r>
    </w:p>
    <w:p w14:paraId="415F5A84" w14:textId="77777777" w:rsidR="00A3169B" w:rsidRPr="00432529" w:rsidRDefault="00A3169B" w:rsidP="00A3169B">
      <w:pPr>
        <w:pStyle w:val="Corpsdetexte"/>
        <w:spacing w:before="120" w:line="240" w:lineRule="auto"/>
        <w:jc w:val="center"/>
        <w:rPr>
          <w:rFonts w:asciiTheme="minorHAnsi" w:hAnsiTheme="minorHAnsi" w:cstheme="minorHAnsi"/>
          <w:b w:val="0"/>
          <w:szCs w:val="22"/>
        </w:rPr>
      </w:pPr>
      <w:r w:rsidRPr="00432529">
        <w:rPr>
          <w:rFonts w:asciiTheme="minorHAnsi" w:hAnsiTheme="minorHAnsi" w:cstheme="minorHAnsi"/>
          <w:b w:val="0"/>
          <w:szCs w:val="22"/>
        </w:rPr>
        <w:t>488 930 694 RCS Limoges</w:t>
      </w:r>
    </w:p>
    <w:p w14:paraId="553A1C65" w14:textId="77777777" w:rsidR="009C6FA7" w:rsidRPr="00432529" w:rsidRDefault="009C6FA7" w:rsidP="00CE05CF">
      <w:pPr>
        <w:spacing w:before="120" w:line="240" w:lineRule="auto"/>
        <w:jc w:val="center"/>
        <w:rPr>
          <w:rFonts w:asciiTheme="minorHAnsi" w:hAnsiTheme="minorHAnsi" w:cstheme="minorHAnsi"/>
          <w:b/>
          <w:szCs w:val="22"/>
        </w:rPr>
      </w:pPr>
    </w:p>
    <w:p w14:paraId="31603605" w14:textId="7BBDD163" w:rsidR="009C6FA7" w:rsidRPr="00432529" w:rsidRDefault="00FA059F" w:rsidP="00CE05CF">
      <w:pPr>
        <w:spacing w:before="120" w:line="240" w:lineRule="auto"/>
        <w:jc w:val="right"/>
        <w:rPr>
          <w:rFonts w:asciiTheme="minorHAnsi" w:hAnsiTheme="minorHAnsi" w:cstheme="minorHAnsi"/>
          <w:szCs w:val="22"/>
        </w:rPr>
      </w:pPr>
      <w:r w:rsidRPr="00432529">
        <w:rPr>
          <w:rFonts w:asciiTheme="minorHAnsi" w:hAnsiTheme="minorHAnsi" w:cstheme="minorHAnsi"/>
          <w:szCs w:val="22"/>
        </w:rPr>
        <w:t>Limoges</w:t>
      </w:r>
      <w:r w:rsidR="009C6FA7" w:rsidRPr="00432529">
        <w:rPr>
          <w:rFonts w:asciiTheme="minorHAnsi" w:hAnsiTheme="minorHAnsi" w:cstheme="minorHAnsi"/>
          <w:szCs w:val="22"/>
        </w:rPr>
        <w:t>, le</w:t>
      </w:r>
      <w:r w:rsidR="00EA036E">
        <w:rPr>
          <w:rFonts w:asciiTheme="minorHAnsi" w:hAnsiTheme="minorHAnsi" w:cstheme="minorHAnsi"/>
          <w:szCs w:val="22"/>
        </w:rPr>
        <w:t xml:space="preserve"> 27</w:t>
      </w:r>
      <w:r w:rsidR="009C6FA7" w:rsidRPr="00432529">
        <w:rPr>
          <w:rFonts w:asciiTheme="minorHAnsi" w:hAnsiTheme="minorHAnsi" w:cstheme="minorHAnsi"/>
          <w:szCs w:val="22"/>
        </w:rPr>
        <w:t xml:space="preserve"> </w:t>
      </w:r>
      <w:r w:rsidR="00387602">
        <w:rPr>
          <w:rFonts w:asciiTheme="minorHAnsi" w:hAnsiTheme="minorHAnsi" w:cstheme="minorHAnsi"/>
          <w:szCs w:val="22"/>
        </w:rPr>
        <w:t>janvier 2025</w:t>
      </w:r>
    </w:p>
    <w:p w14:paraId="530523CC" w14:textId="77777777" w:rsidR="009C6FA7" w:rsidRPr="00432529" w:rsidRDefault="009C6FA7" w:rsidP="00CE05CF">
      <w:pPr>
        <w:spacing w:before="120" w:line="240" w:lineRule="auto"/>
        <w:jc w:val="center"/>
        <w:rPr>
          <w:rFonts w:asciiTheme="minorHAnsi" w:hAnsiTheme="minorHAnsi" w:cstheme="minorHAnsi"/>
          <w:b/>
          <w:szCs w:val="22"/>
        </w:rPr>
      </w:pPr>
    </w:p>
    <w:p w14:paraId="073B3BFA" w14:textId="77777777" w:rsidR="000A5420" w:rsidRPr="00432529" w:rsidRDefault="009C6FA7" w:rsidP="00CE05CF">
      <w:pPr>
        <w:spacing w:before="120" w:line="240" w:lineRule="auto"/>
        <w:jc w:val="center"/>
        <w:rPr>
          <w:rFonts w:asciiTheme="minorHAnsi" w:hAnsiTheme="minorHAnsi" w:cstheme="minorHAnsi"/>
          <w:b/>
          <w:u w:val="single"/>
        </w:rPr>
      </w:pPr>
      <w:r w:rsidRPr="00432529">
        <w:rPr>
          <w:rFonts w:asciiTheme="minorHAnsi" w:hAnsiTheme="minorHAnsi" w:cstheme="minorHAnsi"/>
          <w:b/>
          <w:u w:val="single"/>
        </w:rPr>
        <w:t>DESCRIPTIF DU PROGRAMME DE RACHAT D’ACTIONS</w:t>
      </w:r>
    </w:p>
    <w:p w14:paraId="0678AAC2" w14:textId="77777777" w:rsidR="00CE05CF" w:rsidRPr="00432529" w:rsidRDefault="00CE05CF" w:rsidP="00CE05CF">
      <w:pPr>
        <w:spacing w:before="120" w:line="240" w:lineRule="auto"/>
        <w:jc w:val="center"/>
        <w:rPr>
          <w:rFonts w:asciiTheme="minorHAnsi" w:hAnsiTheme="minorHAnsi" w:cstheme="minorHAnsi"/>
          <w:b/>
          <w:u w:val="single"/>
        </w:rPr>
      </w:pPr>
    </w:p>
    <w:p w14:paraId="5E3B8C26" w14:textId="53AC37F9" w:rsidR="00CE05CF" w:rsidRPr="00432529" w:rsidRDefault="00CE05CF" w:rsidP="00CE05CF">
      <w:pPr>
        <w:spacing w:before="120" w:line="240" w:lineRule="auto"/>
        <w:rPr>
          <w:rFonts w:asciiTheme="minorHAnsi" w:hAnsiTheme="minorHAnsi" w:cstheme="minorHAnsi"/>
          <w:bCs/>
          <w:szCs w:val="22"/>
        </w:rPr>
      </w:pPr>
      <w:r w:rsidRPr="00432529">
        <w:rPr>
          <w:rFonts w:asciiTheme="minorHAnsi" w:hAnsiTheme="minorHAnsi" w:cstheme="minorHAnsi"/>
          <w:bCs/>
          <w:szCs w:val="22"/>
        </w:rPr>
        <w:t xml:space="preserve">Conformément aux dispositions de l’article 5 du règlement 596/2014, de l’article 2 du règlement délégué 2016/1052 et de l’article 241-2 du règlement général de l’AMF, le présent descriptif a pour objectif de décrire les finalités et les modalités du programme de rachat de ses propres actions par la société. Ce programme sera soumis à l’autorisation de l’assemblée générale du </w:t>
      </w:r>
      <w:r w:rsidR="00432529" w:rsidRPr="00432529">
        <w:rPr>
          <w:rFonts w:asciiTheme="minorHAnsi" w:hAnsiTheme="minorHAnsi" w:cstheme="minorHAnsi"/>
          <w:bCs/>
          <w:szCs w:val="22"/>
        </w:rPr>
        <w:t>14 février 2025</w:t>
      </w:r>
      <w:r w:rsidRPr="00432529">
        <w:rPr>
          <w:rFonts w:asciiTheme="minorHAnsi" w:hAnsiTheme="minorHAnsi" w:cstheme="minorHAnsi"/>
          <w:bCs/>
          <w:szCs w:val="22"/>
        </w:rPr>
        <w:t xml:space="preserve"> dans les termes publiés dans le cadre de l’avis préalable </w:t>
      </w:r>
      <w:r w:rsidR="00432529" w:rsidRPr="00432529">
        <w:rPr>
          <w:rFonts w:asciiTheme="minorHAnsi" w:hAnsiTheme="minorHAnsi" w:cstheme="minorHAnsi"/>
          <w:bCs/>
          <w:szCs w:val="22"/>
        </w:rPr>
        <w:t xml:space="preserve">devant paraitre au BALO </w:t>
      </w:r>
      <w:r w:rsidRPr="00432529">
        <w:rPr>
          <w:rFonts w:asciiTheme="minorHAnsi" w:hAnsiTheme="minorHAnsi" w:cstheme="minorHAnsi"/>
          <w:bCs/>
          <w:szCs w:val="22"/>
        </w:rPr>
        <w:t xml:space="preserve">et qui présente les caractéristiques suivantes : </w:t>
      </w:r>
    </w:p>
    <w:p w14:paraId="2D7C6612" w14:textId="77777777" w:rsidR="00CE05CF" w:rsidRPr="00432529" w:rsidRDefault="00CE05CF" w:rsidP="00CE05CF">
      <w:pPr>
        <w:spacing w:before="120" w:line="240" w:lineRule="auto"/>
        <w:rPr>
          <w:rFonts w:asciiTheme="minorHAnsi" w:hAnsiTheme="minorHAnsi" w:cstheme="minorHAnsi"/>
          <w:bCs/>
          <w:szCs w:val="22"/>
        </w:rPr>
      </w:pPr>
    </w:p>
    <w:p w14:paraId="18649955" w14:textId="77777777" w:rsidR="00CE05CF" w:rsidRPr="00432529" w:rsidRDefault="00CE05CF" w:rsidP="00CE05CF">
      <w:pPr>
        <w:pStyle w:val="Paragraphedeliste"/>
        <w:numPr>
          <w:ilvl w:val="0"/>
          <w:numId w:val="1"/>
        </w:numPr>
        <w:spacing w:before="120" w:line="240" w:lineRule="auto"/>
        <w:ind w:left="284" w:hanging="284"/>
        <w:contextualSpacing w:val="0"/>
        <w:rPr>
          <w:rFonts w:asciiTheme="minorHAnsi" w:hAnsiTheme="minorHAnsi" w:cstheme="minorHAnsi"/>
          <w:szCs w:val="22"/>
        </w:rPr>
      </w:pPr>
      <w:r w:rsidRPr="00432529">
        <w:rPr>
          <w:rFonts w:asciiTheme="minorHAnsi" w:hAnsiTheme="minorHAnsi" w:cstheme="minorHAnsi"/>
          <w:b/>
          <w:szCs w:val="22"/>
        </w:rPr>
        <w:t>Titres concernés </w:t>
      </w:r>
      <w:r w:rsidRPr="00432529">
        <w:rPr>
          <w:rFonts w:asciiTheme="minorHAnsi" w:hAnsiTheme="minorHAnsi" w:cstheme="minorHAnsi"/>
          <w:szCs w:val="22"/>
        </w:rPr>
        <w:t>: actions ordinaires</w:t>
      </w:r>
    </w:p>
    <w:p w14:paraId="665B0EB8" w14:textId="77777777" w:rsidR="00CE05CF" w:rsidRPr="00432529" w:rsidRDefault="00CE05CF" w:rsidP="00CE05CF">
      <w:pPr>
        <w:pStyle w:val="Paragraphedeliste"/>
        <w:numPr>
          <w:ilvl w:val="0"/>
          <w:numId w:val="1"/>
        </w:numPr>
        <w:autoSpaceDE w:val="0"/>
        <w:autoSpaceDN w:val="0"/>
        <w:adjustRightInd w:val="0"/>
        <w:spacing w:before="120" w:line="240" w:lineRule="auto"/>
        <w:ind w:left="284" w:hanging="284"/>
        <w:contextualSpacing w:val="0"/>
        <w:rPr>
          <w:rFonts w:asciiTheme="minorHAnsi" w:hAnsiTheme="minorHAnsi" w:cstheme="minorHAnsi"/>
          <w:szCs w:val="22"/>
        </w:rPr>
      </w:pPr>
      <w:r w:rsidRPr="00432529">
        <w:rPr>
          <w:rFonts w:asciiTheme="minorHAnsi" w:hAnsiTheme="minorHAnsi" w:cstheme="minorHAnsi"/>
          <w:b/>
          <w:szCs w:val="22"/>
        </w:rPr>
        <w:t>Part maximale du capital dont le rachat est autorisé </w:t>
      </w:r>
      <w:r w:rsidRPr="00432529">
        <w:rPr>
          <w:rFonts w:asciiTheme="minorHAnsi" w:hAnsiTheme="minorHAnsi" w:cstheme="minorHAnsi"/>
          <w:szCs w:val="22"/>
        </w:rPr>
        <w:t xml:space="preserve">: </w:t>
      </w:r>
      <w:r w:rsidR="00C61A47" w:rsidRPr="00432529">
        <w:rPr>
          <w:rFonts w:asciiTheme="minorHAnsi" w:hAnsiTheme="minorHAnsi" w:cstheme="minorHAnsi"/>
        </w:rPr>
        <w:t>10% du nombre d’actions composant le capital social au jour de l’Assemblée</w:t>
      </w:r>
      <w:r w:rsidRPr="00432529">
        <w:rPr>
          <w:rFonts w:asciiTheme="minorHAnsi" w:hAnsiTheme="minorHAnsi" w:cstheme="minorHAnsi"/>
          <w:szCs w:val="22"/>
        </w:rPr>
        <w:t xml:space="preserve">, étant précisé que cette limite s’apprécie à la date des rachats afin </w:t>
      </w:r>
      <w:r w:rsidRPr="00432529">
        <w:rPr>
          <w:rFonts w:asciiTheme="minorHAnsi" w:hAnsiTheme="minorHAnsi" w:cstheme="minorHAnsi"/>
          <w:snapToGrid w:val="0"/>
          <w:szCs w:val="22"/>
        </w:rPr>
        <w:t>de tenir compte des éventuelles opérations d’augmentation ou de réduction de capital pouvant intervenir pendant la durée du programme. L</w:t>
      </w:r>
      <w:r w:rsidRPr="00432529">
        <w:rPr>
          <w:rFonts w:asciiTheme="minorHAnsi" w:hAnsiTheme="minorHAnsi" w:cstheme="minorHAnsi"/>
          <w:szCs w:val="22"/>
        </w:rPr>
        <w:t xml:space="preserve">e nombre d’actions pris en compte pour le calcul de cette limite correspond au nombre d’actions achetées, déduction faite du nombre d’actions revendues pendant la durée du programme dans le cadre de l’objectif de liquidité. </w:t>
      </w:r>
    </w:p>
    <w:p w14:paraId="0486A4A9" w14:textId="2DC96CF6" w:rsidR="00CE05CF" w:rsidRPr="00432529" w:rsidRDefault="00CE05CF" w:rsidP="00CE05CF">
      <w:pPr>
        <w:pStyle w:val="Paragraphedeliste"/>
        <w:numPr>
          <w:ilvl w:val="0"/>
          <w:numId w:val="1"/>
        </w:numPr>
        <w:autoSpaceDE w:val="0"/>
        <w:autoSpaceDN w:val="0"/>
        <w:adjustRightInd w:val="0"/>
        <w:spacing w:before="120" w:line="240" w:lineRule="auto"/>
        <w:ind w:left="284" w:hanging="284"/>
        <w:contextualSpacing w:val="0"/>
        <w:rPr>
          <w:rFonts w:asciiTheme="minorHAnsi" w:hAnsiTheme="minorHAnsi" w:cstheme="minorHAnsi"/>
          <w:b/>
          <w:szCs w:val="22"/>
        </w:rPr>
      </w:pPr>
      <w:r w:rsidRPr="00432529">
        <w:rPr>
          <w:rFonts w:asciiTheme="minorHAnsi" w:hAnsiTheme="minorHAnsi" w:cstheme="minorHAnsi"/>
          <w:b/>
          <w:szCs w:val="22"/>
        </w:rPr>
        <w:t>Prix maximum d’achat </w:t>
      </w:r>
      <w:r w:rsidRPr="00432529">
        <w:rPr>
          <w:rFonts w:asciiTheme="minorHAnsi" w:hAnsiTheme="minorHAnsi" w:cstheme="minorHAnsi"/>
          <w:szCs w:val="22"/>
        </w:rPr>
        <w:t xml:space="preserve">: </w:t>
      </w:r>
      <w:r w:rsidR="00A3169B" w:rsidRPr="00432529">
        <w:rPr>
          <w:rFonts w:asciiTheme="minorHAnsi" w:hAnsiTheme="minorHAnsi" w:cstheme="minorHAnsi"/>
          <w:szCs w:val="22"/>
        </w:rPr>
        <w:t xml:space="preserve">36 </w:t>
      </w:r>
      <w:r w:rsidRPr="00432529">
        <w:rPr>
          <w:rFonts w:asciiTheme="minorHAnsi" w:hAnsiTheme="minorHAnsi" w:cstheme="minorHAnsi"/>
          <w:szCs w:val="22"/>
        </w:rPr>
        <w:t>euros par action</w:t>
      </w:r>
    </w:p>
    <w:p w14:paraId="3C6797B9" w14:textId="301A2A92" w:rsidR="00CE05CF" w:rsidRPr="00432529" w:rsidRDefault="00CE05CF" w:rsidP="00CE05CF">
      <w:pPr>
        <w:pStyle w:val="Paragraphedeliste"/>
        <w:numPr>
          <w:ilvl w:val="0"/>
          <w:numId w:val="1"/>
        </w:numPr>
        <w:autoSpaceDE w:val="0"/>
        <w:autoSpaceDN w:val="0"/>
        <w:adjustRightInd w:val="0"/>
        <w:spacing w:before="120" w:line="240" w:lineRule="auto"/>
        <w:ind w:left="284" w:hanging="284"/>
        <w:contextualSpacing w:val="0"/>
        <w:rPr>
          <w:rFonts w:asciiTheme="minorHAnsi" w:hAnsiTheme="minorHAnsi" w:cstheme="minorHAnsi"/>
          <w:b/>
          <w:szCs w:val="22"/>
        </w:rPr>
      </w:pPr>
      <w:r w:rsidRPr="00432529">
        <w:rPr>
          <w:rFonts w:asciiTheme="minorHAnsi" w:hAnsiTheme="minorHAnsi" w:cstheme="minorHAnsi"/>
          <w:b/>
          <w:szCs w:val="22"/>
        </w:rPr>
        <w:t>Montant maximal du programme </w:t>
      </w:r>
      <w:r w:rsidRPr="00432529">
        <w:rPr>
          <w:rFonts w:asciiTheme="minorHAnsi" w:hAnsiTheme="minorHAnsi" w:cstheme="minorHAnsi"/>
          <w:szCs w:val="22"/>
        </w:rPr>
        <w:t xml:space="preserve">: </w:t>
      </w:r>
      <w:r w:rsidR="00A3169B" w:rsidRPr="00432529">
        <w:rPr>
          <w:rFonts w:asciiTheme="minorHAnsi" w:hAnsiTheme="minorHAnsi" w:cstheme="minorHAnsi"/>
          <w:szCs w:val="22"/>
        </w:rPr>
        <w:t xml:space="preserve">3 000 000 </w:t>
      </w:r>
      <w:r w:rsidR="00FB5187" w:rsidRPr="00432529">
        <w:rPr>
          <w:rFonts w:asciiTheme="minorHAnsi" w:hAnsiTheme="minorHAnsi" w:cstheme="minorHAnsi"/>
          <w:szCs w:val="22"/>
        </w:rPr>
        <w:t>euros.</w:t>
      </w:r>
    </w:p>
    <w:p w14:paraId="6D34741D" w14:textId="77777777" w:rsidR="00CE05CF" w:rsidRPr="00432529" w:rsidRDefault="00CE05CF" w:rsidP="00C4000D">
      <w:pPr>
        <w:pStyle w:val="Paragraphedeliste"/>
        <w:numPr>
          <w:ilvl w:val="0"/>
          <w:numId w:val="1"/>
        </w:numPr>
        <w:autoSpaceDE w:val="0"/>
        <w:autoSpaceDN w:val="0"/>
        <w:adjustRightInd w:val="0"/>
        <w:spacing w:before="120" w:line="240" w:lineRule="auto"/>
        <w:ind w:left="284" w:hanging="284"/>
        <w:contextualSpacing w:val="0"/>
        <w:rPr>
          <w:rFonts w:asciiTheme="minorHAnsi" w:hAnsiTheme="minorHAnsi" w:cstheme="minorHAnsi"/>
          <w:b/>
          <w:szCs w:val="22"/>
        </w:rPr>
      </w:pPr>
      <w:r w:rsidRPr="00432529">
        <w:rPr>
          <w:rFonts w:asciiTheme="minorHAnsi" w:hAnsiTheme="minorHAnsi" w:cstheme="minorHAnsi"/>
          <w:b/>
          <w:szCs w:val="22"/>
        </w:rPr>
        <w:t>Modalités des rachats </w:t>
      </w:r>
      <w:r w:rsidRPr="00432529">
        <w:rPr>
          <w:rFonts w:asciiTheme="minorHAnsi" w:hAnsiTheme="minorHAnsi" w:cstheme="minorHAnsi"/>
          <w:szCs w:val="22"/>
        </w:rPr>
        <w:t xml:space="preserve">: </w:t>
      </w:r>
    </w:p>
    <w:p w14:paraId="1057698F" w14:textId="77777777" w:rsidR="00FB5187" w:rsidRPr="00432529" w:rsidRDefault="00FB5187" w:rsidP="00FB5187">
      <w:pPr>
        <w:pStyle w:val="Paragraphedeliste"/>
        <w:autoSpaceDE w:val="0"/>
        <w:autoSpaceDN w:val="0"/>
        <w:adjustRightInd w:val="0"/>
        <w:spacing w:before="120" w:line="240" w:lineRule="auto"/>
        <w:ind w:left="284"/>
        <w:contextualSpacing w:val="0"/>
        <w:rPr>
          <w:rFonts w:asciiTheme="minorHAnsi" w:hAnsiTheme="minorHAnsi" w:cstheme="minorHAnsi"/>
          <w:szCs w:val="22"/>
        </w:rPr>
      </w:pPr>
      <w:r w:rsidRPr="00432529">
        <w:rPr>
          <w:rFonts w:asciiTheme="minorHAnsi" w:hAnsiTheme="minorHAnsi" w:cstheme="minorHAnsi"/>
          <w:szCs w:val="22"/>
        </w:rPr>
        <w:t>Ces achats d'actions pourront être opérés par tous moyens, y compris par voie d'acquisition de blocs de titres, et aux époques que le Conseil d'administration appréciera.</w:t>
      </w:r>
    </w:p>
    <w:p w14:paraId="5F36737C" w14:textId="02410800" w:rsidR="000A5420" w:rsidRPr="00432529" w:rsidRDefault="000A5420" w:rsidP="000A5420">
      <w:pPr>
        <w:pStyle w:val="Paragraphedeliste"/>
        <w:autoSpaceDE w:val="0"/>
        <w:autoSpaceDN w:val="0"/>
        <w:adjustRightInd w:val="0"/>
        <w:spacing w:before="120" w:line="240" w:lineRule="auto"/>
        <w:ind w:left="284"/>
        <w:contextualSpacing w:val="0"/>
        <w:rPr>
          <w:rFonts w:asciiTheme="minorHAnsi" w:hAnsiTheme="minorHAnsi" w:cstheme="minorHAnsi"/>
          <w:szCs w:val="22"/>
        </w:rPr>
      </w:pPr>
      <w:r w:rsidRPr="00432529">
        <w:rPr>
          <w:rFonts w:asciiTheme="minorHAnsi" w:hAnsiTheme="minorHAnsi" w:cstheme="minorHAnsi"/>
          <w:szCs w:val="22"/>
        </w:rPr>
        <w:t>Le</w:t>
      </w:r>
      <w:r w:rsidRPr="00432529">
        <w:rPr>
          <w:rFonts w:asciiTheme="minorHAnsi" w:hAnsiTheme="minorHAnsi" w:cstheme="minorHAnsi"/>
          <w:bCs/>
          <w:szCs w:val="22"/>
        </w:rPr>
        <w:t xml:space="preserve"> Conseil</w:t>
      </w:r>
      <w:r w:rsidRPr="00432529">
        <w:rPr>
          <w:rFonts w:asciiTheme="minorHAnsi" w:hAnsiTheme="minorHAnsi" w:cstheme="minorHAnsi"/>
          <w:szCs w:val="22"/>
        </w:rPr>
        <w:t xml:space="preserve"> ne pourra sauf autorisation préalable par l’assemblée générale, faire usage de la présente autorisation en période d’offre publique initiée par un tiers visant les titres de la société et ce, jusqu’à la fin de la période d’offre.</w:t>
      </w:r>
    </w:p>
    <w:p w14:paraId="04795185" w14:textId="77777777" w:rsidR="00FB5187" w:rsidRPr="00432529" w:rsidRDefault="00FB5187" w:rsidP="00FB5187">
      <w:pPr>
        <w:pStyle w:val="Paragraphedeliste"/>
        <w:autoSpaceDE w:val="0"/>
        <w:autoSpaceDN w:val="0"/>
        <w:adjustRightInd w:val="0"/>
        <w:spacing w:before="120" w:line="240" w:lineRule="auto"/>
        <w:ind w:left="284"/>
        <w:contextualSpacing w:val="0"/>
        <w:rPr>
          <w:rFonts w:asciiTheme="minorHAnsi" w:hAnsiTheme="minorHAnsi" w:cstheme="minorHAnsi"/>
          <w:szCs w:val="22"/>
        </w:rPr>
      </w:pPr>
      <w:r w:rsidRPr="00432529">
        <w:rPr>
          <w:rFonts w:asciiTheme="minorHAnsi" w:hAnsiTheme="minorHAnsi" w:cstheme="minorHAnsi"/>
          <w:szCs w:val="22"/>
        </w:rPr>
        <w:t>La Société se réserve le droit d’utiliser des mécanismes optionnels ou instruments dérivés dans le cadre de la réglementation applicable.</w:t>
      </w:r>
    </w:p>
    <w:p w14:paraId="3D390221" w14:textId="77777777" w:rsidR="00CE05CF" w:rsidRPr="00432529" w:rsidRDefault="00CE05CF" w:rsidP="00C4000D">
      <w:pPr>
        <w:pStyle w:val="Paragraphedeliste"/>
        <w:numPr>
          <w:ilvl w:val="0"/>
          <w:numId w:val="1"/>
        </w:numPr>
        <w:autoSpaceDE w:val="0"/>
        <w:autoSpaceDN w:val="0"/>
        <w:adjustRightInd w:val="0"/>
        <w:spacing w:before="120" w:line="240" w:lineRule="auto"/>
        <w:ind w:left="284" w:hanging="284"/>
        <w:contextualSpacing w:val="0"/>
        <w:rPr>
          <w:rFonts w:asciiTheme="minorHAnsi" w:hAnsiTheme="minorHAnsi" w:cstheme="minorHAnsi"/>
          <w:b/>
          <w:szCs w:val="22"/>
        </w:rPr>
      </w:pPr>
      <w:r w:rsidRPr="00432529">
        <w:rPr>
          <w:rFonts w:asciiTheme="minorHAnsi" w:hAnsiTheme="minorHAnsi" w:cstheme="minorHAnsi"/>
          <w:b/>
          <w:szCs w:val="22"/>
        </w:rPr>
        <w:t>Objectifs </w:t>
      </w:r>
      <w:r w:rsidRPr="00432529">
        <w:rPr>
          <w:rFonts w:asciiTheme="minorHAnsi" w:hAnsiTheme="minorHAnsi" w:cstheme="minorHAnsi"/>
          <w:szCs w:val="22"/>
        </w:rPr>
        <w:t xml:space="preserve">: </w:t>
      </w:r>
    </w:p>
    <w:p w14:paraId="0447D676" w14:textId="77777777" w:rsidR="00432529" w:rsidRPr="00432529" w:rsidRDefault="00432529" w:rsidP="00432529">
      <w:pPr>
        <w:numPr>
          <w:ilvl w:val="0"/>
          <w:numId w:val="1"/>
        </w:numPr>
        <w:tabs>
          <w:tab w:val="left" w:pos="1080"/>
        </w:tabs>
        <w:spacing w:before="120" w:line="240" w:lineRule="auto"/>
        <w:rPr>
          <w:rFonts w:asciiTheme="minorHAnsi" w:hAnsiTheme="minorHAnsi" w:cstheme="minorHAnsi"/>
          <w:snapToGrid w:val="0"/>
        </w:rPr>
      </w:pPr>
      <w:r w:rsidRPr="00432529">
        <w:rPr>
          <w:rFonts w:asciiTheme="minorHAnsi" w:hAnsiTheme="minorHAnsi" w:cstheme="minorHAnsi"/>
          <w:snapToGrid w:val="0"/>
        </w:rPr>
        <w:t xml:space="preserve">d’assurer l’animation du marché secondaire ou la liquidité de l’action </w:t>
      </w:r>
      <w:r w:rsidRPr="00432529">
        <w:rPr>
          <w:rFonts w:asciiTheme="minorHAnsi" w:hAnsiTheme="minorHAnsi" w:cstheme="minorHAnsi"/>
        </w:rPr>
        <w:t xml:space="preserve">HUNYVERS </w:t>
      </w:r>
      <w:r w:rsidRPr="00432529">
        <w:rPr>
          <w:rFonts w:asciiTheme="minorHAnsi" w:hAnsiTheme="minorHAnsi" w:cstheme="minorHAnsi"/>
          <w:snapToGrid w:val="0"/>
        </w:rPr>
        <w:t>par l’intermédiaire d’un prestataire de services d’investissement au travers d’un contrat de liquidité conforme à la pratique admise par la réglementation, étant précisé que dans ce cadre, le nombre d’actions pris en compte pour le calcul de la limite susvisée correspond au nombre d’actions achetées, déduction faite du nombre d’actions revendues,</w:t>
      </w:r>
    </w:p>
    <w:p w14:paraId="52FB1E9E" w14:textId="77777777" w:rsidR="00432529" w:rsidRPr="00432529" w:rsidRDefault="00432529" w:rsidP="00432529">
      <w:pPr>
        <w:numPr>
          <w:ilvl w:val="0"/>
          <w:numId w:val="1"/>
        </w:numPr>
        <w:tabs>
          <w:tab w:val="left" w:pos="1080"/>
        </w:tabs>
        <w:spacing w:before="120" w:line="240" w:lineRule="auto"/>
        <w:rPr>
          <w:rFonts w:asciiTheme="minorHAnsi" w:hAnsiTheme="minorHAnsi" w:cstheme="minorHAnsi"/>
          <w:snapToGrid w:val="0"/>
        </w:rPr>
      </w:pPr>
      <w:r w:rsidRPr="00432529">
        <w:rPr>
          <w:rFonts w:asciiTheme="minorHAnsi" w:hAnsiTheme="minorHAnsi" w:cstheme="minorHAnsi"/>
          <w:snapToGrid w:val="0"/>
        </w:rPr>
        <w:t xml:space="preserve">de conserver les actions achetées et les remettre ultérieurement en échange ou en paiement dans le cadre d’opérations éventuelles de fusion, de scission, d’apport ou de croissance externe, </w:t>
      </w:r>
    </w:p>
    <w:p w14:paraId="06D2849E" w14:textId="77777777" w:rsidR="00432529" w:rsidRPr="00432529" w:rsidRDefault="00432529" w:rsidP="00432529">
      <w:pPr>
        <w:numPr>
          <w:ilvl w:val="0"/>
          <w:numId w:val="1"/>
        </w:numPr>
        <w:tabs>
          <w:tab w:val="left" w:pos="1080"/>
        </w:tabs>
        <w:spacing w:before="120" w:line="240" w:lineRule="auto"/>
        <w:rPr>
          <w:rFonts w:asciiTheme="minorHAnsi" w:hAnsiTheme="minorHAnsi" w:cstheme="minorHAnsi"/>
          <w:snapToGrid w:val="0"/>
        </w:rPr>
      </w:pPr>
      <w:r w:rsidRPr="00432529">
        <w:rPr>
          <w:rFonts w:asciiTheme="minorHAnsi" w:hAnsiTheme="minorHAnsi" w:cstheme="minorHAnsi"/>
          <w:snapToGrid w:val="0"/>
        </w:rPr>
        <w:lastRenderedPageBreak/>
        <w:t>d’assurer la couverture de plans d’options d’achat d’actions et/ou de plans d’actions attribuées gratuitement (ou plans assimilés) au bénéfice des salariés et/ou des mandataires sociaux du groupe (en ce compris les groupements d’intérêt économique et sociétés liées) ainsi que toutes allocations d’actions au titre d’un plan d’épargne d’entreprise ou de groupe (ou plan assimilé), au titre de la participation aux résultats de l’entreprise et/ou toutes autres formes d’allocation d’actions à des salariés et/ou des mandataires sociaux du groupe (en ce compris les groupements d’intérêt économique et sociétés liées),</w:t>
      </w:r>
    </w:p>
    <w:p w14:paraId="5536667B" w14:textId="77777777" w:rsidR="00432529" w:rsidRPr="00432529" w:rsidRDefault="00432529" w:rsidP="00432529">
      <w:pPr>
        <w:numPr>
          <w:ilvl w:val="0"/>
          <w:numId w:val="1"/>
        </w:numPr>
        <w:tabs>
          <w:tab w:val="left" w:pos="1080"/>
        </w:tabs>
        <w:spacing w:before="120" w:line="240" w:lineRule="auto"/>
        <w:rPr>
          <w:rFonts w:asciiTheme="minorHAnsi" w:hAnsiTheme="minorHAnsi" w:cstheme="minorHAnsi"/>
          <w:snapToGrid w:val="0"/>
        </w:rPr>
      </w:pPr>
      <w:r w:rsidRPr="00432529">
        <w:rPr>
          <w:rFonts w:asciiTheme="minorHAnsi" w:hAnsiTheme="minorHAnsi" w:cstheme="minorHAnsi"/>
          <w:snapToGrid w:val="0"/>
        </w:rPr>
        <w:t>d’assurer la couverture de valeurs mobilières donnant droit à l’attribution d’actions de la société dans le cadre de la réglementation en vigueur,</w:t>
      </w:r>
    </w:p>
    <w:p w14:paraId="2A8BD0A7" w14:textId="77777777" w:rsidR="00432529" w:rsidRPr="00432529" w:rsidRDefault="00432529" w:rsidP="00432529">
      <w:pPr>
        <w:pStyle w:val="Paragraphedeliste"/>
        <w:numPr>
          <w:ilvl w:val="0"/>
          <w:numId w:val="1"/>
        </w:numPr>
        <w:autoSpaceDE w:val="0"/>
        <w:autoSpaceDN w:val="0"/>
        <w:adjustRightInd w:val="0"/>
        <w:spacing w:before="120" w:line="240" w:lineRule="auto"/>
        <w:contextualSpacing w:val="0"/>
        <w:rPr>
          <w:rFonts w:asciiTheme="minorHAnsi" w:hAnsiTheme="minorHAnsi" w:cstheme="minorHAnsi"/>
          <w:b/>
          <w:szCs w:val="22"/>
        </w:rPr>
      </w:pPr>
      <w:r w:rsidRPr="00432529">
        <w:rPr>
          <w:rFonts w:asciiTheme="minorHAnsi" w:hAnsiTheme="minorHAnsi" w:cstheme="minorHAnsi"/>
          <w:snapToGrid w:val="0"/>
        </w:rPr>
        <w:t>de procéder à l’annulation éventuelle des actions acquises, conformément à l’autorisation conférée ou à conférer par l’assemblée générale extraordinaire.</w:t>
      </w:r>
    </w:p>
    <w:p w14:paraId="352E900B" w14:textId="3F5C57CB" w:rsidR="00CE05CF" w:rsidRPr="00432529" w:rsidRDefault="00CE05CF" w:rsidP="00432529">
      <w:pPr>
        <w:pStyle w:val="Paragraphedeliste"/>
        <w:numPr>
          <w:ilvl w:val="0"/>
          <w:numId w:val="1"/>
        </w:numPr>
        <w:autoSpaceDE w:val="0"/>
        <w:autoSpaceDN w:val="0"/>
        <w:adjustRightInd w:val="0"/>
        <w:spacing w:before="120" w:line="240" w:lineRule="auto"/>
        <w:ind w:left="284" w:hanging="284"/>
        <w:contextualSpacing w:val="0"/>
        <w:rPr>
          <w:rFonts w:asciiTheme="minorHAnsi" w:hAnsiTheme="minorHAnsi" w:cstheme="minorHAnsi"/>
          <w:b/>
          <w:szCs w:val="22"/>
        </w:rPr>
      </w:pPr>
      <w:r w:rsidRPr="00432529">
        <w:rPr>
          <w:rFonts w:asciiTheme="minorHAnsi" w:hAnsiTheme="minorHAnsi" w:cstheme="minorHAnsi"/>
          <w:b/>
          <w:szCs w:val="22"/>
        </w:rPr>
        <w:t>Durée du programme </w:t>
      </w:r>
      <w:r w:rsidRPr="00432529">
        <w:rPr>
          <w:rFonts w:asciiTheme="minorHAnsi" w:hAnsiTheme="minorHAnsi" w:cstheme="minorHAnsi"/>
          <w:szCs w:val="22"/>
        </w:rPr>
        <w:t xml:space="preserve">: 18 mois à compter de l’Assemblée générale du </w:t>
      </w:r>
      <w:r w:rsidR="00432529">
        <w:rPr>
          <w:rFonts w:asciiTheme="minorHAnsi" w:hAnsiTheme="minorHAnsi" w:cstheme="minorHAnsi"/>
          <w:szCs w:val="22"/>
        </w:rPr>
        <w:t>14 février 2025</w:t>
      </w:r>
      <w:r w:rsidRPr="00432529">
        <w:rPr>
          <w:rFonts w:asciiTheme="minorHAnsi" w:hAnsiTheme="minorHAnsi" w:cstheme="minorHAnsi"/>
          <w:szCs w:val="22"/>
        </w:rPr>
        <w:t xml:space="preserve">, soit jusqu’au </w:t>
      </w:r>
      <w:r w:rsidR="00432529">
        <w:rPr>
          <w:rFonts w:asciiTheme="minorHAnsi" w:hAnsiTheme="minorHAnsi" w:cstheme="minorHAnsi"/>
          <w:szCs w:val="22"/>
        </w:rPr>
        <w:t>13 août 2026.</w:t>
      </w:r>
    </w:p>
    <w:p w14:paraId="5658C0EC" w14:textId="77777777" w:rsidR="00C61A47" w:rsidRPr="00432529" w:rsidRDefault="00C61A47" w:rsidP="00C61A47">
      <w:pPr>
        <w:autoSpaceDE w:val="0"/>
        <w:autoSpaceDN w:val="0"/>
        <w:adjustRightInd w:val="0"/>
        <w:spacing w:before="120" w:line="240" w:lineRule="auto"/>
        <w:rPr>
          <w:rFonts w:asciiTheme="minorHAnsi" w:hAnsiTheme="minorHAnsi" w:cstheme="minorHAnsi"/>
          <w:szCs w:val="22"/>
        </w:rPr>
      </w:pPr>
    </w:p>
    <w:p w14:paraId="25EE1027" w14:textId="47D62E73" w:rsidR="00C61A47" w:rsidRPr="00432529" w:rsidRDefault="00C61A47" w:rsidP="00C61A47">
      <w:pPr>
        <w:pStyle w:val="Default"/>
        <w:spacing w:before="120"/>
        <w:rPr>
          <w:rFonts w:asciiTheme="minorHAnsi" w:hAnsiTheme="minorHAnsi" w:cstheme="minorHAnsi"/>
          <w:sz w:val="22"/>
          <w:szCs w:val="22"/>
          <w:highlight w:val="yellow"/>
        </w:rPr>
      </w:pPr>
    </w:p>
    <w:p w14:paraId="38EE69A8" w14:textId="2E9AB046" w:rsidR="00C61A47" w:rsidRPr="00432529" w:rsidRDefault="00C61A47" w:rsidP="00C61A47">
      <w:pPr>
        <w:autoSpaceDE w:val="0"/>
        <w:autoSpaceDN w:val="0"/>
        <w:adjustRightInd w:val="0"/>
        <w:spacing w:before="120" w:line="240" w:lineRule="auto"/>
        <w:rPr>
          <w:rFonts w:asciiTheme="minorHAnsi" w:hAnsiTheme="minorHAnsi" w:cstheme="minorHAnsi"/>
          <w:b/>
          <w:szCs w:val="22"/>
        </w:rPr>
      </w:pPr>
    </w:p>
    <w:sectPr w:rsidR="00C61A47" w:rsidRPr="0043252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CD844" w14:textId="77777777" w:rsidR="00C4080F" w:rsidRDefault="00C4080F" w:rsidP="00C4080F">
      <w:pPr>
        <w:spacing w:line="240" w:lineRule="auto"/>
      </w:pPr>
      <w:r>
        <w:separator/>
      </w:r>
    </w:p>
  </w:endnote>
  <w:endnote w:type="continuationSeparator" w:id="0">
    <w:p w14:paraId="27B8ED90" w14:textId="77777777" w:rsidR="00C4080F" w:rsidRDefault="00C4080F" w:rsidP="00C40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8226E" w14:textId="77777777" w:rsidR="00C4080F" w:rsidRDefault="00C4080F" w:rsidP="00C4080F">
      <w:pPr>
        <w:spacing w:line="240" w:lineRule="auto"/>
      </w:pPr>
      <w:r>
        <w:separator/>
      </w:r>
    </w:p>
  </w:footnote>
  <w:footnote w:type="continuationSeparator" w:id="0">
    <w:p w14:paraId="582B83BD" w14:textId="77777777" w:rsidR="00C4080F" w:rsidRDefault="00C4080F" w:rsidP="00C408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6926" w14:textId="222D63F0" w:rsidR="00C4080F" w:rsidRPr="00C4080F" w:rsidRDefault="00C4080F">
    <w:pPr>
      <w:pStyle w:val="En-tte"/>
      <w:rPr>
        <w:rFonts w:asciiTheme="minorHAnsi" w:hAnsiTheme="minorHAnsi" w:cstheme="minorHAnsi"/>
      </w:rPr>
    </w:pPr>
    <w:r w:rsidRPr="00C4080F">
      <w:rPr>
        <w:rFonts w:asciiTheme="minorHAnsi" w:hAnsiTheme="minorHAnsi" w:cstheme="minorHAnsi"/>
      </w:rPr>
      <w:fldChar w:fldCharType="begin"/>
    </w:r>
    <w:r w:rsidRPr="00C4080F">
      <w:rPr>
        <w:rFonts w:asciiTheme="minorHAnsi" w:hAnsiTheme="minorHAnsi" w:cstheme="minorHAnsi"/>
      </w:rPr>
      <w:instrText xml:space="preserve"> FILENAME \* MERGEFORMAT </w:instrText>
    </w:r>
    <w:r w:rsidRPr="00C4080F">
      <w:rPr>
        <w:rFonts w:asciiTheme="minorHAnsi" w:hAnsiTheme="minorHAnsi" w:cstheme="minorHAnsi"/>
      </w:rPr>
      <w:fldChar w:fldCharType="separate"/>
    </w:r>
    <w:r w:rsidRPr="00C4080F">
      <w:rPr>
        <w:rFonts w:asciiTheme="minorHAnsi" w:hAnsiTheme="minorHAnsi" w:cs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15977"/>
    <w:multiLevelType w:val="hybridMultilevel"/>
    <w:tmpl w:val="7C0441B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754A67"/>
    <w:multiLevelType w:val="singleLevel"/>
    <w:tmpl w:val="96B8BC8E"/>
    <w:lvl w:ilvl="0">
      <w:start w:val="15"/>
      <w:numFmt w:val="bullet"/>
      <w:lvlText w:val="-"/>
      <w:lvlJc w:val="left"/>
      <w:pPr>
        <w:tabs>
          <w:tab w:val="num" w:pos="360"/>
        </w:tabs>
        <w:ind w:left="360" w:hanging="360"/>
      </w:pPr>
      <w:rPr>
        <w:rFonts w:ascii="Times New Roman" w:hAnsi="Times New Roman" w:hint="default"/>
        <w:b/>
      </w:rPr>
    </w:lvl>
  </w:abstractNum>
  <w:abstractNum w:abstractNumId="2" w15:restartNumberingAfterBreak="0">
    <w:nsid w:val="20953C4D"/>
    <w:multiLevelType w:val="hybridMultilevel"/>
    <w:tmpl w:val="2FC4BF16"/>
    <w:lvl w:ilvl="0" w:tplc="3484131A">
      <w:start w:val="5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5875491">
    <w:abstractNumId w:val="2"/>
  </w:num>
  <w:num w:numId="2" w16cid:durableId="1856337463">
    <w:abstractNumId w:val="0"/>
  </w:num>
  <w:num w:numId="3" w16cid:durableId="1960837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A7"/>
    <w:rsid w:val="000A5420"/>
    <w:rsid w:val="00387602"/>
    <w:rsid w:val="00432529"/>
    <w:rsid w:val="00656BA9"/>
    <w:rsid w:val="00695F2D"/>
    <w:rsid w:val="0080630E"/>
    <w:rsid w:val="00881E3B"/>
    <w:rsid w:val="008F6D4F"/>
    <w:rsid w:val="009C6FA7"/>
    <w:rsid w:val="00A3169B"/>
    <w:rsid w:val="00C23C48"/>
    <w:rsid w:val="00C4000D"/>
    <w:rsid w:val="00C4080F"/>
    <w:rsid w:val="00C61A47"/>
    <w:rsid w:val="00CE05CF"/>
    <w:rsid w:val="00E57681"/>
    <w:rsid w:val="00EA036E"/>
    <w:rsid w:val="00F373A8"/>
    <w:rsid w:val="00FA059F"/>
    <w:rsid w:val="00FB51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0000"/>
  <w15:chartTrackingRefBased/>
  <w15:docId w15:val="{D18A1C0A-0AF2-4BA4-9BE3-127AB0DF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FA7"/>
    <w:pPr>
      <w:spacing w:after="0" w:line="260" w:lineRule="atLeast"/>
      <w:jc w:val="both"/>
    </w:pPr>
    <w:rPr>
      <w:rFonts w:ascii="Times New Roman" w:eastAsia="Times New Roman" w:hAnsi="Times New Roman" w:cs="Times New Roman"/>
      <w:szCs w:val="20"/>
      <w:lang w:eastAsia="fr-FR"/>
    </w:rPr>
  </w:style>
  <w:style w:type="paragraph" w:styleId="Titre1">
    <w:name w:val="heading 1"/>
    <w:basedOn w:val="Normal"/>
    <w:next w:val="Normal"/>
    <w:link w:val="Titre1Car"/>
    <w:uiPriority w:val="9"/>
    <w:qFormat/>
    <w:rsid w:val="00432529"/>
    <w:pPr>
      <w:keepNext/>
      <w:keepLines/>
      <w:spacing w:before="360" w:after="80" w:line="240"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05CF"/>
    <w:pPr>
      <w:ind w:left="720"/>
      <w:contextualSpacing/>
    </w:pPr>
  </w:style>
  <w:style w:type="paragraph" w:customStyle="1" w:styleId="Default">
    <w:name w:val="Default"/>
    <w:rsid w:val="00C61A47"/>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C4080F"/>
    <w:pPr>
      <w:tabs>
        <w:tab w:val="center" w:pos="4536"/>
        <w:tab w:val="right" w:pos="9072"/>
      </w:tabs>
      <w:spacing w:line="240" w:lineRule="auto"/>
    </w:pPr>
  </w:style>
  <w:style w:type="character" w:customStyle="1" w:styleId="En-tteCar">
    <w:name w:val="En-tête Car"/>
    <w:basedOn w:val="Policepardfaut"/>
    <w:link w:val="En-tte"/>
    <w:uiPriority w:val="99"/>
    <w:rsid w:val="00C4080F"/>
    <w:rPr>
      <w:rFonts w:ascii="Times New Roman" w:eastAsia="Times New Roman" w:hAnsi="Times New Roman" w:cs="Times New Roman"/>
      <w:szCs w:val="20"/>
      <w:lang w:eastAsia="fr-FR"/>
    </w:rPr>
  </w:style>
  <w:style w:type="paragraph" w:styleId="Pieddepage">
    <w:name w:val="footer"/>
    <w:basedOn w:val="Normal"/>
    <w:link w:val="PieddepageCar"/>
    <w:uiPriority w:val="99"/>
    <w:unhideWhenUsed/>
    <w:rsid w:val="00C4080F"/>
    <w:pPr>
      <w:tabs>
        <w:tab w:val="center" w:pos="4536"/>
        <w:tab w:val="right" w:pos="9072"/>
      </w:tabs>
      <w:spacing w:line="240" w:lineRule="auto"/>
    </w:pPr>
  </w:style>
  <w:style w:type="character" w:customStyle="1" w:styleId="PieddepageCar">
    <w:name w:val="Pied de page Car"/>
    <w:basedOn w:val="Policepardfaut"/>
    <w:link w:val="Pieddepage"/>
    <w:uiPriority w:val="99"/>
    <w:rsid w:val="00C4080F"/>
    <w:rPr>
      <w:rFonts w:ascii="Times New Roman" w:eastAsia="Times New Roman" w:hAnsi="Times New Roman" w:cs="Times New Roman"/>
      <w:szCs w:val="20"/>
      <w:lang w:eastAsia="fr-FR"/>
    </w:rPr>
  </w:style>
  <w:style w:type="paragraph" w:styleId="Corpsdetexte">
    <w:name w:val="Body Text"/>
    <w:basedOn w:val="Normal"/>
    <w:link w:val="CorpsdetexteCar"/>
    <w:rsid w:val="00A3169B"/>
    <w:pPr>
      <w:tabs>
        <w:tab w:val="left" w:pos="-1440"/>
      </w:tabs>
      <w:spacing w:line="286" w:lineRule="auto"/>
    </w:pPr>
    <w:rPr>
      <w:b/>
    </w:rPr>
  </w:style>
  <w:style w:type="character" w:customStyle="1" w:styleId="CorpsdetexteCar">
    <w:name w:val="Corps de texte Car"/>
    <w:basedOn w:val="Policepardfaut"/>
    <w:link w:val="Corpsdetexte"/>
    <w:rsid w:val="00A3169B"/>
    <w:rPr>
      <w:rFonts w:ascii="Times New Roman" w:eastAsia="Times New Roman" w:hAnsi="Times New Roman" w:cs="Times New Roman"/>
      <w:b/>
      <w:szCs w:val="20"/>
      <w:lang w:eastAsia="fr-FR"/>
    </w:rPr>
  </w:style>
  <w:style w:type="character" w:styleId="Lienhypertexte">
    <w:name w:val="Hyperlink"/>
    <w:basedOn w:val="Policepardfaut"/>
    <w:uiPriority w:val="99"/>
    <w:unhideWhenUsed/>
    <w:rsid w:val="00A3169B"/>
    <w:rPr>
      <w:color w:val="0563C1" w:themeColor="hyperlink"/>
      <w:u w:val="single"/>
    </w:rPr>
  </w:style>
  <w:style w:type="character" w:styleId="Mentionnonrsolue">
    <w:name w:val="Unresolved Mention"/>
    <w:basedOn w:val="Policepardfaut"/>
    <w:uiPriority w:val="99"/>
    <w:semiHidden/>
    <w:unhideWhenUsed/>
    <w:rsid w:val="00A3169B"/>
    <w:rPr>
      <w:color w:val="605E5C"/>
      <w:shd w:val="clear" w:color="auto" w:fill="E1DFDD"/>
    </w:rPr>
  </w:style>
  <w:style w:type="character" w:customStyle="1" w:styleId="Titre1Car">
    <w:name w:val="Titre 1 Car"/>
    <w:basedOn w:val="Policepardfaut"/>
    <w:link w:val="Titre1"/>
    <w:uiPriority w:val="9"/>
    <w:rsid w:val="00432529"/>
    <w:rPr>
      <w:rFonts w:asciiTheme="majorHAnsi" w:eastAsiaTheme="majorEastAsia" w:hAnsiTheme="majorHAnsi" w:cstheme="majorBidi"/>
      <w:color w:val="2E74B5"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20761">
      <w:bodyDiv w:val="1"/>
      <w:marLeft w:val="0"/>
      <w:marRight w:val="0"/>
      <w:marTop w:val="0"/>
      <w:marBottom w:val="0"/>
      <w:divBdr>
        <w:top w:val="none" w:sz="0" w:space="0" w:color="auto"/>
        <w:left w:val="none" w:sz="0" w:space="0" w:color="auto"/>
        <w:bottom w:val="none" w:sz="0" w:space="0" w:color="auto"/>
        <w:right w:val="none" w:sz="0" w:space="0" w:color="auto"/>
      </w:divBdr>
    </w:div>
    <w:div w:id="140529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3120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D'hoir Beaufre Associés 6</dc:creator>
  <cp:keywords/>
  <dc:description/>
  <cp:lastModifiedBy>D'hoir Beaufre Associés 6</cp:lastModifiedBy>
  <cp:revision>13</cp:revision>
  <cp:lastPrinted>2023-01-30T11:38:00Z</cp:lastPrinted>
  <dcterms:created xsi:type="dcterms:W3CDTF">2022-03-23T10:53:00Z</dcterms:created>
  <dcterms:modified xsi:type="dcterms:W3CDTF">2025-01-27T10:58:00Z</dcterms:modified>
</cp:coreProperties>
</file>